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92F73" w14:textId="20D304FD" w:rsidR="00B11383" w:rsidRPr="001B4C79" w:rsidRDefault="00F21498" w:rsidP="00F2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Times New Roman"/>
          <w:b/>
          <w:sz w:val="20"/>
          <w:szCs w:val="20"/>
        </w:rPr>
      </w:pPr>
      <w:r w:rsidRPr="001B4C79">
        <w:rPr>
          <w:rFonts w:ascii="Arial Narrow" w:hAnsi="Arial Narrow" w:cs="Times New Roman"/>
          <w:b/>
          <w:sz w:val="20"/>
          <w:szCs w:val="20"/>
        </w:rPr>
        <w:t>NOTE DE PRÉSENTATION DU BUDGET PRIMITIF 20</w:t>
      </w:r>
      <w:r w:rsidR="00385000">
        <w:rPr>
          <w:rFonts w:ascii="Arial Narrow" w:hAnsi="Arial Narrow" w:cs="Times New Roman"/>
          <w:b/>
          <w:sz w:val="20"/>
          <w:szCs w:val="20"/>
        </w:rPr>
        <w:t>2</w:t>
      </w:r>
      <w:r w:rsidR="00F922F5">
        <w:rPr>
          <w:rFonts w:ascii="Arial Narrow" w:hAnsi="Arial Narrow" w:cs="Times New Roman"/>
          <w:b/>
          <w:sz w:val="20"/>
          <w:szCs w:val="20"/>
        </w:rPr>
        <w:t>1</w:t>
      </w:r>
    </w:p>
    <w:p w14:paraId="3ECE25FF" w14:textId="77777777" w:rsidR="001B4C79" w:rsidRDefault="001B4C79" w:rsidP="001B4C79">
      <w:pPr>
        <w:jc w:val="both"/>
        <w:rPr>
          <w:rFonts w:ascii="Arial Narrow" w:hAnsi="Arial Narrow" w:cs="Times New Roman"/>
          <w:sz w:val="20"/>
          <w:szCs w:val="20"/>
        </w:rPr>
      </w:pPr>
    </w:p>
    <w:p w14:paraId="05946B9A" w14:textId="398ED54E" w:rsidR="001B4C79" w:rsidRPr="001B4C79" w:rsidRDefault="001B4C79" w:rsidP="001B4C79">
      <w:pPr>
        <w:jc w:val="both"/>
        <w:rPr>
          <w:rFonts w:ascii="Arial Narrow" w:hAnsi="Arial Narrow"/>
          <w:sz w:val="20"/>
          <w:szCs w:val="20"/>
        </w:rPr>
      </w:pPr>
      <w:r w:rsidRPr="001B4C79">
        <w:rPr>
          <w:rFonts w:ascii="Arial Narrow" w:hAnsi="Arial Narrow" w:cs="Times New Roman"/>
          <w:sz w:val="20"/>
          <w:szCs w:val="20"/>
        </w:rPr>
        <w:t>L’article L 2313-1 du Code général des collectivités territoriales prévoit que la collectivité réalise u</w:t>
      </w:r>
      <w:r w:rsidRPr="001B4C79">
        <w:rPr>
          <w:rFonts w:ascii="Arial Narrow" w:hAnsi="Arial Narrow"/>
          <w:sz w:val="20"/>
          <w:szCs w:val="20"/>
        </w:rPr>
        <w:t>ne présentation brève et synthétique retraçant les informations financières essentielles</w:t>
      </w:r>
      <w:r w:rsidR="00385000">
        <w:rPr>
          <w:rFonts w:ascii="Arial Narrow" w:hAnsi="Arial Narrow"/>
          <w:sz w:val="20"/>
          <w:szCs w:val="20"/>
        </w:rPr>
        <w:t>,</w:t>
      </w:r>
      <w:r w:rsidRPr="001B4C79">
        <w:rPr>
          <w:rFonts w:ascii="Arial Narrow" w:hAnsi="Arial Narrow"/>
          <w:sz w:val="20"/>
          <w:szCs w:val="20"/>
        </w:rPr>
        <w:t xml:space="preserve"> jointe au budget primitif et au compte administratif afin de permettre aux citoyens d'en saisir les enjeux.</w:t>
      </w:r>
    </w:p>
    <w:p w14:paraId="29F09CC2" w14:textId="77777777" w:rsidR="001B4C79" w:rsidRPr="001B4C79" w:rsidRDefault="001B4C79" w:rsidP="001B4C79">
      <w:pPr>
        <w:pStyle w:val="Sansinterligne"/>
        <w:rPr>
          <w:sz w:val="20"/>
          <w:szCs w:val="20"/>
        </w:rPr>
      </w:pPr>
    </w:p>
    <w:p w14:paraId="0EBA7F98" w14:textId="0D2F4077" w:rsidR="00F21498" w:rsidRPr="001B4C79" w:rsidRDefault="00F21498" w:rsidP="009E10A5">
      <w:pPr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  <w:r w:rsidRPr="001B4C79">
        <w:rPr>
          <w:rFonts w:ascii="Arial Narrow" w:hAnsi="Arial Narrow" w:cs="Times New Roman"/>
          <w:b/>
          <w:sz w:val="20"/>
          <w:szCs w:val="20"/>
          <w:u w:val="single"/>
        </w:rPr>
        <w:t>BALANCE GÉNÉRALE DU BUDGET PRIMITIF 20</w:t>
      </w:r>
      <w:r w:rsidR="00385000">
        <w:rPr>
          <w:rFonts w:ascii="Arial Narrow" w:hAnsi="Arial Narrow" w:cs="Times New Roman"/>
          <w:b/>
          <w:sz w:val="20"/>
          <w:szCs w:val="20"/>
          <w:u w:val="single"/>
        </w:rPr>
        <w:t>2</w:t>
      </w:r>
      <w:r w:rsidR="00F922F5">
        <w:rPr>
          <w:rFonts w:ascii="Arial Narrow" w:hAnsi="Arial Narrow" w:cs="Times New Roman"/>
          <w:b/>
          <w:sz w:val="20"/>
          <w:szCs w:val="20"/>
          <w:u w:val="single"/>
        </w:rPr>
        <w:t>1</w:t>
      </w:r>
    </w:p>
    <w:p w14:paraId="23BD97C7" w14:textId="405D0D4D" w:rsidR="00F21498" w:rsidRPr="001B4C79" w:rsidRDefault="00F21498" w:rsidP="009E10A5">
      <w:pPr>
        <w:pStyle w:val="Paragraphedeliste"/>
        <w:numPr>
          <w:ilvl w:val="0"/>
          <w:numId w:val="1"/>
        </w:numPr>
        <w:jc w:val="both"/>
        <w:rPr>
          <w:rFonts w:ascii="Arial Narrow" w:hAnsi="Arial Narrow" w:cs="Times New Roman"/>
          <w:sz w:val="20"/>
          <w:szCs w:val="20"/>
        </w:rPr>
      </w:pPr>
      <w:r w:rsidRPr="001B4C79">
        <w:rPr>
          <w:rFonts w:ascii="Arial Narrow" w:hAnsi="Arial Narrow" w:cs="Times New Roman"/>
          <w:sz w:val="20"/>
          <w:szCs w:val="20"/>
        </w:rPr>
        <w:t>Section d’investissement</w:t>
      </w:r>
      <w:r w:rsidR="00223F05">
        <w:rPr>
          <w:rFonts w:ascii="Arial Narrow" w:hAnsi="Arial Narrow" w:cs="Times New Roman"/>
          <w:sz w:val="20"/>
          <w:szCs w:val="20"/>
        </w:rPr>
        <w:t> :</w:t>
      </w:r>
      <w:r w:rsidRPr="001B4C79">
        <w:rPr>
          <w:rFonts w:ascii="Arial Narrow" w:hAnsi="Arial Narrow" w:cs="Times New Roman"/>
          <w:sz w:val="20"/>
          <w:szCs w:val="20"/>
        </w:rPr>
        <w:tab/>
      </w:r>
      <w:r w:rsidRPr="001B4C79">
        <w:rPr>
          <w:rFonts w:ascii="Arial Narrow" w:hAnsi="Arial Narrow" w:cs="Times New Roman"/>
          <w:sz w:val="20"/>
          <w:szCs w:val="20"/>
        </w:rPr>
        <w:tab/>
      </w:r>
      <w:r w:rsidR="00385000">
        <w:rPr>
          <w:rFonts w:ascii="Arial Narrow" w:hAnsi="Arial Narrow" w:cs="Times New Roman"/>
          <w:sz w:val="20"/>
          <w:szCs w:val="20"/>
        </w:rPr>
        <w:t xml:space="preserve">  </w:t>
      </w:r>
      <w:r w:rsidR="00F922F5">
        <w:rPr>
          <w:rFonts w:ascii="Arial Narrow" w:hAnsi="Arial Narrow" w:cs="Times New Roman"/>
          <w:sz w:val="20"/>
          <w:szCs w:val="20"/>
        </w:rPr>
        <w:t>1</w:t>
      </w:r>
      <w:r w:rsidR="008B368F">
        <w:rPr>
          <w:rFonts w:ascii="Arial Narrow" w:hAnsi="Arial Narrow" w:cs="Times New Roman"/>
          <w:sz w:val="20"/>
          <w:szCs w:val="20"/>
        </w:rPr>
        <w:t> </w:t>
      </w:r>
      <w:r w:rsidR="00F922F5">
        <w:rPr>
          <w:rFonts w:ascii="Arial Narrow" w:hAnsi="Arial Narrow" w:cs="Times New Roman"/>
          <w:sz w:val="20"/>
          <w:szCs w:val="20"/>
        </w:rPr>
        <w:t>838</w:t>
      </w:r>
      <w:r w:rsidR="008B368F">
        <w:rPr>
          <w:rFonts w:ascii="Arial Narrow" w:hAnsi="Arial Narrow" w:cs="Times New Roman"/>
          <w:sz w:val="20"/>
          <w:szCs w:val="20"/>
        </w:rPr>
        <w:t xml:space="preserve"> </w:t>
      </w:r>
      <w:r w:rsidR="00F922F5">
        <w:rPr>
          <w:rFonts w:ascii="Arial Narrow" w:hAnsi="Arial Narrow" w:cs="Times New Roman"/>
          <w:sz w:val="20"/>
          <w:szCs w:val="20"/>
        </w:rPr>
        <w:t>660</w:t>
      </w:r>
      <w:r w:rsidRPr="001B4C79">
        <w:rPr>
          <w:rFonts w:ascii="Arial Narrow" w:hAnsi="Arial Narrow" w:cs="Times New Roman"/>
          <w:sz w:val="20"/>
          <w:szCs w:val="20"/>
        </w:rPr>
        <w:t xml:space="preserve"> €</w:t>
      </w:r>
    </w:p>
    <w:p w14:paraId="3B74718E" w14:textId="08C0CC9A" w:rsidR="00F21498" w:rsidRPr="008B368F" w:rsidRDefault="00F21498" w:rsidP="009E10A5">
      <w:pPr>
        <w:pStyle w:val="Paragraphedeliste"/>
        <w:numPr>
          <w:ilvl w:val="0"/>
          <w:numId w:val="1"/>
        </w:numPr>
        <w:jc w:val="both"/>
        <w:rPr>
          <w:rFonts w:ascii="Arial Narrow" w:hAnsi="Arial Narrow" w:cs="Times New Roman"/>
          <w:sz w:val="20"/>
          <w:szCs w:val="20"/>
          <w:u w:val="single"/>
        </w:rPr>
      </w:pPr>
      <w:r w:rsidRPr="001B4C79">
        <w:rPr>
          <w:rFonts w:ascii="Arial Narrow" w:hAnsi="Arial Narrow" w:cs="Times New Roman"/>
          <w:sz w:val="20"/>
          <w:szCs w:val="20"/>
        </w:rPr>
        <w:t>Section de fonctionnement :</w:t>
      </w:r>
      <w:r w:rsidR="009E10A5" w:rsidRPr="001B4C79">
        <w:rPr>
          <w:rFonts w:ascii="Arial Narrow" w:hAnsi="Arial Narrow" w:cs="Times New Roman"/>
          <w:sz w:val="20"/>
          <w:szCs w:val="20"/>
        </w:rPr>
        <w:tab/>
      </w:r>
      <w:r w:rsidR="00385000">
        <w:rPr>
          <w:rFonts w:ascii="Arial Narrow" w:hAnsi="Arial Narrow" w:cs="Times New Roman"/>
          <w:sz w:val="20"/>
          <w:szCs w:val="20"/>
        </w:rPr>
        <w:tab/>
      </w:r>
      <w:r w:rsidR="008B368F" w:rsidRPr="008B368F">
        <w:rPr>
          <w:rFonts w:ascii="Arial Narrow" w:hAnsi="Arial Narrow" w:cs="Times New Roman"/>
          <w:sz w:val="20"/>
          <w:szCs w:val="20"/>
          <w:u w:val="single"/>
        </w:rPr>
        <w:t> </w:t>
      </w:r>
      <w:r w:rsidR="00F922F5">
        <w:rPr>
          <w:rFonts w:ascii="Arial Narrow" w:hAnsi="Arial Narrow" w:cs="Times New Roman"/>
          <w:sz w:val="20"/>
          <w:szCs w:val="20"/>
          <w:u w:val="single"/>
        </w:rPr>
        <w:t xml:space="preserve"> 9 706</w:t>
      </w:r>
      <w:r w:rsidR="008B368F" w:rsidRPr="008B368F">
        <w:rPr>
          <w:rFonts w:ascii="Arial Narrow" w:hAnsi="Arial Narrow" w:cs="Times New Roman"/>
          <w:sz w:val="20"/>
          <w:szCs w:val="20"/>
          <w:u w:val="single"/>
        </w:rPr>
        <w:t> </w:t>
      </w:r>
      <w:r w:rsidR="00F922F5">
        <w:rPr>
          <w:rFonts w:ascii="Arial Narrow" w:hAnsi="Arial Narrow" w:cs="Times New Roman"/>
          <w:sz w:val="20"/>
          <w:szCs w:val="20"/>
          <w:u w:val="single"/>
        </w:rPr>
        <w:t>255</w:t>
      </w:r>
      <w:r w:rsidR="008B368F" w:rsidRPr="008B368F">
        <w:rPr>
          <w:rFonts w:ascii="Arial Narrow" w:hAnsi="Arial Narrow" w:cs="Times New Roman"/>
          <w:sz w:val="20"/>
          <w:szCs w:val="20"/>
          <w:u w:val="single"/>
        </w:rPr>
        <w:t xml:space="preserve"> </w:t>
      </w:r>
      <w:r w:rsidRPr="008B368F">
        <w:rPr>
          <w:rFonts w:ascii="Arial Narrow" w:hAnsi="Arial Narrow" w:cs="Times New Roman"/>
          <w:sz w:val="20"/>
          <w:szCs w:val="20"/>
          <w:u w:val="single"/>
        </w:rPr>
        <w:t>€</w:t>
      </w:r>
    </w:p>
    <w:p w14:paraId="7D351A44" w14:textId="116FB60D" w:rsidR="00066AD2" w:rsidRPr="001B4C79" w:rsidRDefault="009E10A5" w:rsidP="009E10A5">
      <w:pPr>
        <w:pStyle w:val="Paragraphedeliste"/>
        <w:jc w:val="both"/>
        <w:rPr>
          <w:rFonts w:ascii="Arial Narrow" w:hAnsi="Arial Narrow" w:cs="Times New Roman"/>
          <w:b/>
          <w:sz w:val="20"/>
          <w:szCs w:val="20"/>
        </w:rPr>
      </w:pPr>
      <w:r w:rsidRPr="001B4C79">
        <w:rPr>
          <w:rFonts w:ascii="Arial Narrow" w:hAnsi="Arial Narrow" w:cs="Times New Roman"/>
          <w:sz w:val="20"/>
          <w:szCs w:val="20"/>
        </w:rPr>
        <w:tab/>
      </w:r>
      <w:r w:rsidRPr="001B4C79">
        <w:rPr>
          <w:rFonts w:ascii="Arial Narrow" w:hAnsi="Arial Narrow" w:cs="Times New Roman"/>
          <w:sz w:val="20"/>
          <w:szCs w:val="20"/>
        </w:rPr>
        <w:tab/>
      </w:r>
      <w:r w:rsidR="00066AD2" w:rsidRPr="001B4C79">
        <w:rPr>
          <w:rFonts w:ascii="Arial Narrow" w:hAnsi="Arial Narrow" w:cs="Times New Roman"/>
          <w:b/>
          <w:sz w:val="20"/>
          <w:szCs w:val="20"/>
        </w:rPr>
        <w:t>TOTAL :</w:t>
      </w:r>
      <w:r w:rsidRPr="001B4C79">
        <w:rPr>
          <w:rFonts w:ascii="Arial Narrow" w:hAnsi="Arial Narrow" w:cs="Times New Roman"/>
          <w:b/>
          <w:sz w:val="20"/>
          <w:szCs w:val="20"/>
        </w:rPr>
        <w:tab/>
      </w:r>
      <w:r w:rsidR="00F33C17">
        <w:rPr>
          <w:rFonts w:ascii="Arial Narrow" w:hAnsi="Arial Narrow" w:cs="Times New Roman"/>
          <w:b/>
          <w:sz w:val="20"/>
          <w:szCs w:val="20"/>
        </w:rPr>
        <w:t xml:space="preserve">            </w:t>
      </w:r>
      <w:r w:rsidR="002229C9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385000">
        <w:rPr>
          <w:rFonts w:ascii="Arial Narrow" w:hAnsi="Arial Narrow" w:cs="Times New Roman"/>
          <w:b/>
          <w:sz w:val="20"/>
          <w:szCs w:val="20"/>
        </w:rPr>
        <w:t xml:space="preserve">  </w:t>
      </w:r>
      <w:r w:rsidR="002229C9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066AD2" w:rsidRPr="001B4C79">
        <w:rPr>
          <w:rFonts w:ascii="Arial Narrow" w:hAnsi="Arial Narrow" w:cs="Times New Roman"/>
          <w:b/>
          <w:sz w:val="20"/>
          <w:szCs w:val="20"/>
        </w:rPr>
        <w:t>1</w:t>
      </w:r>
      <w:r w:rsidR="00F922F5">
        <w:rPr>
          <w:rFonts w:ascii="Arial Narrow" w:hAnsi="Arial Narrow" w:cs="Times New Roman"/>
          <w:b/>
          <w:sz w:val="20"/>
          <w:szCs w:val="20"/>
        </w:rPr>
        <w:t>1</w:t>
      </w:r>
      <w:r w:rsidR="00066AD2" w:rsidRPr="001B4C79">
        <w:rPr>
          <w:rFonts w:ascii="Arial Narrow" w:hAnsi="Arial Narrow" w:cs="Times New Roman"/>
          <w:b/>
          <w:sz w:val="20"/>
          <w:szCs w:val="20"/>
        </w:rPr>
        <w:t> </w:t>
      </w:r>
      <w:r w:rsidR="00F922F5">
        <w:rPr>
          <w:rFonts w:ascii="Arial Narrow" w:hAnsi="Arial Narrow" w:cs="Times New Roman"/>
          <w:b/>
          <w:sz w:val="20"/>
          <w:szCs w:val="20"/>
        </w:rPr>
        <w:t>544</w:t>
      </w:r>
      <w:r w:rsidR="00066AD2" w:rsidRPr="001B4C79">
        <w:rPr>
          <w:rFonts w:ascii="Arial Narrow" w:hAnsi="Arial Narrow" w:cs="Times New Roman"/>
          <w:b/>
          <w:sz w:val="20"/>
          <w:szCs w:val="20"/>
        </w:rPr>
        <w:t> </w:t>
      </w:r>
      <w:r w:rsidR="00F922F5">
        <w:rPr>
          <w:rFonts w:ascii="Arial Narrow" w:hAnsi="Arial Narrow" w:cs="Times New Roman"/>
          <w:b/>
          <w:sz w:val="20"/>
          <w:szCs w:val="20"/>
        </w:rPr>
        <w:t>915</w:t>
      </w:r>
      <w:r w:rsidR="00066AD2" w:rsidRPr="001B4C79">
        <w:rPr>
          <w:rFonts w:ascii="Arial Narrow" w:hAnsi="Arial Narrow" w:cs="Times New Roman"/>
          <w:b/>
          <w:sz w:val="20"/>
          <w:szCs w:val="20"/>
        </w:rPr>
        <w:t xml:space="preserve"> €</w:t>
      </w:r>
    </w:p>
    <w:p w14:paraId="793DA00E" w14:textId="77777777" w:rsidR="00C96B60" w:rsidRPr="001B4C79" w:rsidRDefault="00C96B60" w:rsidP="00066AD2">
      <w:pPr>
        <w:pStyle w:val="Paragraphedeliste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4C3234F1" w14:textId="77777777" w:rsidR="00F21498" w:rsidRPr="00231CA3" w:rsidRDefault="00F21498" w:rsidP="00F21498">
      <w:pPr>
        <w:jc w:val="both"/>
        <w:rPr>
          <w:rFonts w:ascii="Arial Narrow" w:hAnsi="Arial Narrow" w:cs="Times New Roman"/>
          <w:b/>
          <w:color w:val="0070C0"/>
          <w:sz w:val="20"/>
          <w:szCs w:val="20"/>
          <w:u w:val="single"/>
        </w:rPr>
      </w:pPr>
      <w:r w:rsidRPr="00231CA3">
        <w:rPr>
          <w:rFonts w:ascii="Arial Narrow" w:hAnsi="Arial Narrow" w:cs="Times New Roman"/>
          <w:b/>
          <w:color w:val="0070C0"/>
          <w:sz w:val="20"/>
          <w:szCs w:val="20"/>
          <w:u w:val="single"/>
        </w:rPr>
        <w:t>I – L’INVESTISSEMENT</w:t>
      </w:r>
    </w:p>
    <w:p w14:paraId="3D25E522" w14:textId="77777777" w:rsidR="00F21498" w:rsidRPr="001B4C79" w:rsidRDefault="00224367" w:rsidP="00F21498">
      <w:pPr>
        <w:jc w:val="both"/>
        <w:rPr>
          <w:rFonts w:ascii="Arial Narrow" w:hAnsi="Arial Narrow" w:cs="Times New Roman"/>
          <w:b/>
          <w:i/>
          <w:sz w:val="20"/>
          <w:szCs w:val="20"/>
        </w:rPr>
      </w:pPr>
      <w:r w:rsidRPr="001B4C79">
        <w:rPr>
          <w:rFonts w:ascii="Arial Narrow" w:hAnsi="Arial Narrow" w:cs="Times New Roman"/>
          <w:sz w:val="20"/>
          <w:szCs w:val="20"/>
        </w:rPr>
        <w:tab/>
      </w:r>
      <w:r w:rsidRPr="00231CA3">
        <w:rPr>
          <w:rFonts w:ascii="Arial Narrow" w:hAnsi="Arial Narrow" w:cs="Times New Roman"/>
          <w:b/>
          <w:i/>
          <w:color w:val="548DD4" w:themeColor="text2" w:themeTint="99"/>
          <w:sz w:val="20"/>
          <w:szCs w:val="20"/>
        </w:rPr>
        <w:t>A – LES DÉPENSES</w:t>
      </w:r>
    </w:p>
    <w:p w14:paraId="71D40C2F" w14:textId="358EA649" w:rsidR="006D0957" w:rsidRPr="000538F2" w:rsidRDefault="00224367" w:rsidP="00224367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  <w:r w:rsidRPr="000538F2">
        <w:rPr>
          <w:rFonts w:ascii="Arial Narrow" w:hAnsi="Arial Narrow" w:cs="Times New Roman"/>
          <w:sz w:val="20"/>
          <w:szCs w:val="20"/>
        </w:rPr>
        <w:t xml:space="preserve">Le remboursement du capital de la dette s’élève à </w:t>
      </w:r>
      <w:r w:rsidR="00385000" w:rsidRPr="000538F2">
        <w:rPr>
          <w:rFonts w:ascii="Arial Narrow" w:hAnsi="Arial Narrow" w:cs="Times New Roman"/>
          <w:sz w:val="20"/>
          <w:szCs w:val="20"/>
        </w:rPr>
        <w:t>5</w:t>
      </w:r>
      <w:r w:rsidR="000538F2" w:rsidRPr="000538F2">
        <w:rPr>
          <w:rFonts w:ascii="Arial Narrow" w:hAnsi="Arial Narrow" w:cs="Times New Roman"/>
          <w:sz w:val="20"/>
          <w:szCs w:val="20"/>
        </w:rPr>
        <w:t>29</w:t>
      </w:r>
      <w:r w:rsidR="00385000" w:rsidRPr="000538F2">
        <w:rPr>
          <w:rFonts w:ascii="Arial Narrow" w:hAnsi="Arial Narrow" w:cs="Times New Roman"/>
          <w:sz w:val="20"/>
          <w:szCs w:val="20"/>
        </w:rPr>
        <w:t xml:space="preserve"> </w:t>
      </w:r>
      <w:r w:rsidR="000538F2" w:rsidRPr="000538F2">
        <w:rPr>
          <w:rFonts w:ascii="Arial Narrow" w:hAnsi="Arial Narrow" w:cs="Times New Roman"/>
          <w:sz w:val="20"/>
          <w:szCs w:val="20"/>
        </w:rPr>
        <w:t>00</w:t>
      </w:r>
      <w:r w:rsidR="00385000" w:rsidRPr="000538F2">
        <w:rPr>
          <w:rFonts w:ascii="Arial Narrow" w:hAnsi="Arial Narrow" w:cs="Times New Roman"/>
          <w:sz w:val="20"/>
          <w:szCs w:val="20"/>
        </w:rPr>
        <w:t>0</w:t>
      </w:r>
      <w:r w:rsidRPr="000538F2">
        <w:rPr>
          <w:rFonts w:ascii="Arial Narrow" w:hAnsi="Arial Narrow" w:cs="Times New Roman"/>
          <w:sz w:val="20"/>
          <w:szCs w:val="20"/>
        </w:rPr>
        <w:t xml:space="preserve"> €.</w:t>
      </w:r>
    </w:p>
    <w:p w14:paraId="6EE4682C" w14:textId="77777777" w:rsidR="00B579F5" w:rsidRPr="00F922F5" w:rsidRDefault="00B579F5" w:rsidP="00224367">
      <w:pPr>
        <w:pStyle w:val="Sansinterligne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p w14:paraId="4B7D5EFD" w14:textId="10E26D8F" w:rsidR="00F21498" w:rsidRPr="000538F2" w:rsidRDefault="00224367" w:rsidP="00224367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  <w:r w:rsidRPr="000538F2">
        <w:rPr>
          <w:rFonts w:ascii="Arial Narrow" w:hAnsi="Arial Narrow" w:cs="Times New Roman"/>
          <w:sz w:val="20"/>
          <w:szCs w:val="20"/>
        </w:rPr>
        <w:t>Cette année encore, la commune n’aura pas recours à l’emprunt pour réaliser ses investissements.</w:t>
      </w:r>
    </w:p>
    <w:p w14:paraId="0AF6E31B" w14:textId="77777777" w:rsidR="00385000" w:rsidRPr="00F922F5" w:rsidRDefault="00385000" w:rsidP="00224367">
      <w:pPr>
        <w:pStyle w:val="Sansinterligne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p w14:paraId="23B1E541" w14:textId="0DA708B4" w:rsidR="006D0957" w:rsidRDefault="00385000" w:rsidP="00224367">
      <w:pPr>
        <w:jc w:val="both"/>
        <w:rPr>
          <w:rFonts w:ascii="Arial Narrow" w:hAnsi="Arial Narrow" w:cs="Times New Roman"/>
          <w:sz w:val="20"/>
          <w:szCs w:val="20"/>
        </w:rPr>
      </w:pPr>
      <w:r w:rsidRPr="000538F2">
        <w:rPr>
          <w:rFonts w:ascii="Arial Narrow" w:hAnsi="Arial Narrow" w:cs="Times New Roman"/>
          <w:sz w:val="20"/>
          <w:szCs w:val="20"/>
        </w:rPr>
        <w:t>L</w:t>
      </w:r>
      <w:r w:rsidR="006D0957" w:rsidRPr="000538F2">
        <w:rPr>
          <w:rFonts w:ascii="Arial Narrow" w:hAnsi="Arial Narrow" w:cs="Times New Roman"/>
          <w:sz w:val="20"/>
          <w:szCs w:val="20"/>
        </w:rPr>
        <w:t xml:space="preserve">a </w:t>
      </w:r>
      <w:r w:rsidR="009A250E" w:rsidRPr="000538F2">
        <w:rPr>
          <w:rFonts w:ascii="Arial Narrow" w:hAnsi="Arial Narrow" w:cs="Times New Roman"/>
          <w:sz w:val="20"/>
          <w:szCs w:val="20"/>
        </w:rPr>
        <w:t>municipalité</w:t>
      </w:r>
      <w:r w:rsidR="006D0957" w:rsidRPr="000538F2">
        <w:rPr>
          <w:rFonts w:ascii="Arial Narrow" w:hAnsi="Arial Narrow" w:cs="Times New Roman"/>
          <w:sz w:val="20"/>
          <w:szCs w:val="20"/>
        </w:rPr>
        <w:t xml:space="preserve"> </w:t>
      </w:r>
      <w:r w:rsidR="009A250E" w:rsidRPr="000538F2">
        <w:rPr>
          <w:rFonts w:ascii="Arial Narrow" w:hAnsi="Arial Narrow" w:cs="Times New Roman"/>
          <w:sz w:val="20"/>
          <w:szCs w:val="20"/>
        </w:rPr>
        <w:t>prévoit</w:t>
      </w:r>
      <w:r w:rsidR="006D0957" w:rsidRPr="000538F2">
        <w:rPr>
          <w:rFonts w:ascii="Arial Narrow" w:hAnsi="Arial Narrow" w:cs="Times New Roman"/>
          <w:sz w:val="20"/>
          <w:szCs w:val="20"/>
        </w:rPr>
        <w:t xml:space="preserve"> </w:t>
      </w:r>
      <w:r w:rsidR="000538F2" w:rsidRPr="000538F2">
        <w:rPr>
          <w:rFonts w:ascii="Arial Narrow" w:hAnsi="Arial Narrow" w:cs="Times New Roman"/>
          <w:sz w:val="20"/>
          <w:szCs w:val="20"/>
        </w:rPr>
        <w:t>562 690 €</w:t>
      </w:r>
      <w:r w:rsidR="006D0957" w:rsidRPr="000538F2">
        <w:rPr>
          <w:rFonts w:ascii="Arial Narrow" w:hAnsi="Arial Narrow" w:cs="Times New Roman"/>
          <w:sz w:val="20"/>
          <w:szCs w:val="20"/>
        </w:rPr>
        <w:t xml:space="preserve"> d’investissements nouveaux, </w:t>
      </w:r>
      <w:r w:rsidR="000538F2">
        <w:rPr>
          <w:rFonts w:ascii="Arial Narrow" w:hAnsi="Arial Narrow" w:cs="Times New Roman"/>
          <w:sz w:val="20"/>
          <w:szCs w:val="20"/>
        </w:rPr>
        <w:t>et</w:t>
      </w:r>
      <w:r w:rsidR="000538F2" w:rsidRPr="000538F2">
        <w:rPr>
          <w:rFonts w:ascii="Arial Narrow" w:hAnsi="Arial Narrow" w:cs="Times New Roman"/>
          <w:sz w:val="20"/>
          <w:szCs w:val="20"/>
        </w:rPr>
        <w:t xml:space="preserve"> 39 300€ de travaux en régie, </w:t>
      </w:r>
      <w:r w:rsidR="006D0957" w:rsidRPr="000538F2">
        <w:rPr>
          <w:rFonts w:ascii="Arial Narrow" w:hAnsi="Arial Narrow" w:cs="Times New Roman"/>
          <w:sz w:val="20"/>
          <w:szCs w:val="20"/>
        </w:rPr>
        <w:t>auxquels s’ajoutent les reports 20</w:t>
      </w:r>
      <w:r w:rsidR="000538F2" w:rsidRPr="000538F2">
        <w:rPr>
          <w:rFonts w:ascii="Arial Narrow" w:hAnsi="Arial Narrow" w:cs="Times New Roman"/>
          <w:sz w:val="20"/>
          <w:szCs w:val="20"/>
        </w:rPr>
        <w:t>20</w:t>
      </w:r>
      <w:r w:rsidR="006D0957" w:rsidRPr="000538F2">
        <w:rPr>
          <w:rFonts w:ascii="Arial Narrow" w:hAnsi="Arial Narrow" w:cs="Times New Roman"/>
          <w:sz w:val="20"/>
          <w:szCs w:val="20"/>
        </w:rPr>
        <w:t xml:space="preserve"> </w:t>
      </w:r>
      <w:r w:rsidR="00221528" w:rsidRPr="000538F2">
        <w:rPr>
          <w:rFonts w:ascii="Arial Narrow" w:hAnsi="Arial Narrow" w:cs="Times New Roman"/>
          <w:sz w:val="20"/>
          <w:szCs w:val="20"/>
        </w:rPr>
        <w:t>d’</w:t>
      </w:r>
      <w:r w:rsidR="006D0957" w:rsidRPr="000538F2">
        <w:rPr>
          <w:rFonts w:ascii="Arial Narrow" w:hAnsi="Arial Narrow" w:cs="Times New Roman"/>
          <w:sz w:val="20"/>
          <w:szCs w:val="20"/>
        </w:rPr>
        <w:t xml:space="preserve">un montant de </w:t>
      </w:r>
      <w:r w:rsidR="000538F2" w:rsidRPr="000538F2">
        <w:rPr>
          <w:rFonts w:ascii="Arial Narrow" w:hAnsi="Arial Narrow" w:cs="Times New Roman"/>
          <w:sz w:val="20"/>
          <w:szCs w:val="20"/>
        </w:rPr>
        <w:t>148</w:t>
      </w:r>
      <w:r w:rsidRPr="000538F2">
        <w:rPr>
          <w:rFonts w:ascii="Arial Narrow" w:hAnsi="Arial Narrow" w:cs="Times New Roman"/>
          <w:sz w:val="20"/>
          <w:szCs w:val="20"/>
        </w:rPr>
        <w:t xml:space="preserve"> </w:t>
      </w:r>
      <w:r w:rsidR="000538F2" w:rsidRPr="000538F2">
        <w:rPr>
          <w:rFonts w:ascii="Arial Narrow" w:hAnsi="Arial Narrow" w:cs="Times New Roman"/>
          <w:sz w:val="20"/>
          <w:szCs w:val="20"/>
        </w:rPr>
        <w:t>073</w:t>
      </w:r>
      <w:r w:rsidR="008B368F" w:rsidRPr="000538F2">
        <w:rPr>
          <w:rFonts w:ascii="Arial Narrow" w:hAnsi="Arial Narrow" w:cs="Times New Roman"/>
          <w:sz w:val="20"/>
          <w:szCs w:val="20"/>
        </w:rPr>
        <w:t xml:space="preserve"> </w:t>
      </w:r>
      <w:r w:rsidR="006D0957" w:rsidRPr="000538F2">
        <w:rPr>
          <w:rFonts w:ascii="Arial Narrow" w:hAnsi="Arial Narrow" w:cs="Times New Roman"/>
          <w:sz w:val="20"/>
          <w:szCs w:val="20"/>
        </w:rPr>
        <w:t>€.</w:t>
      </w:r>
    </w:p>
    <w:p w14:paraId="7E13A38D" w14:textId="1CDCE424" w:rsidR="000538F2" w:rsidRPr="000538F2" w:rsidRDefault="000538F2" w:rsidP="00224367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Comme l’an dernier, une somme de 65 328 € est inscrite pour le remboursement en 4 annuités d’un indu de taxe d’aménagement. </w:t>
      </w:r>
    </w:p>
    <w:p w14:paraId="5AC0D231" w14:textId="0309A3C4" w:rsidR="000538F2" w:rsidRDefault="000538F2" w:rsidP="00224367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Enfin, le report de la section d’investissement à fin 2020 se monte à 494 269 €. </w:t>
      </w:r>
    </w:p>
    <w:p w14:paraId="23DC5811" w14:textId="77777777" w:rsidR="000538F2" w:rsidRDefault="000538F2" w:rsidP="00224367">
      <w:pPr>
        <w:jc w:val="both"/>
        <w:rPr>
          <w:rFonts w:ascii="Arial Narrow" w:hAnsi="Arial Narrow" w:cs="Times New Roman"/>
          <w:sz w:val="20"/>
          <w:szCs w:val="20"/>
        </w:rPr>
      </w:pPr>
    </w:p>
    <w:p w14:paraId="03D70330" w14:textId="3705209C" w:rsidR="006D0957" w:rsidRPr="001B4C79" w:rsidRDefault="006D0957" w:rsidP="00224367">
      <w:pPr>
        <w:jc w:val="both"/>
        <w:rPr>
          <w:rFonts w:ascii="Arial Narrow" w:hAnsi="Arial Narrow" w:cs="Times New Roman"/>
          <w:b/>
          <w:i/>
          <w:sz w:val="20"/>
          <w:szCs w:val="20"/>
        </w:rPr>
      </w:pPr>
      <w:r w:rsidRPr="001B4C79">
        <w:rPr>
          <w:rFonts w:ascii="Arial Narrow" w:hAnsi="Arial Narrow" w:cs="Times New Roman"/>
          <w:sz w:val="20"/>
          <w:szCs w:val="20"/>
        </w:rPr>
        <w:tab/>
      </w:r>
      <w:r w:rsidRPr="00231CA3">
        <w:rPr>
          <w:rFonts w:ascii="Arial Narrow" w:hAnsi="Arial Narrow" w:cs="Times New Roman"/>
          <w:b/>
          <w:i/>
          <w:color w:val="548DD4" w:themeColor="text2" w:themeTint="99"/>
          <w:sz w:val="20"/>
          <w:szCs w:val="20"/>
        </w:rPr>
        <w:t>B – LES RECETTES</w:t>
      </w:r>
    </w:p>
    <w:p w14:paraId="6AA20042" w14:textId="06DCC789" w:rsidR="00776A0C" w:rsidRDefault="00776A0C" w:rsidP="00C96B60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  <w:r w:rsidRPr="007D08CC">
        <w:rPr>
          <w:rFonts w:ascii="Arial Narrow" w:hAnsi="Arial Narrow" w:cs="Times New Roman"/>
          <w:sz w:val="20"/>
          <w:szCs w:val="20"/>
        </w:rPr>
        <w:t xml:space="preserve">Les ressources propres de la ville s’élèvent à </w:t>
      </w:r>
      <w:r w:rsidR="007D08CC">
        <w:rPr>
          <w:rFonts w:ascii="Arial Narrow" w:hAnsi="Arial Narrow" w:cs="Times New Roman"/>
          <w:sz w:val="20"/>
          <w:szCs w:val="20"/>
        </w:rPr>
        <w:t>1 082 200</w:t>
      </w:r>
      <w:r w:rsidR="008B368F" w:rsidRPr="007D08CC">
        <w:rPr>
          <w:rFonts w:ascii="Arial Narrow" w:hAnsi="Arial Narrow" w:cs="Times New Roman"/>
          <w:sz w:val="20"/>
          <w:szCs w:val="20"/>
        </w:rPr>
        <w:t xml:space="preserve"> </w:t>
      </w:r>
      <w:r w:rsidRPr="007D08CC">
        <w:rPr>
          <w:rFonts w:ascii="Arial Narrow" w:hAnsi="Arial Narrow" w:cs="Times New Roman"/>
          <w:sz w:val="20"/>
          <w:szCs w:val="20"/>
        </w:rPr>
        <w:t>€</w:t>
      </w:r>
      <w:r w:rsidR="007D08CC" w:rsidRPr="007D08CC">
        <w:rPr>
          <w:rFonts w:ascii="Arial Narrow" w:hAnsi="Arial Narrow" w:cs="Times New Roman"/>
          <w:sz w:val="20"/>
          <w:szCs w:val="20"/>
        </w:rPr>
        <w:t xml:space="preserve">. </w:t>
      </w:r>
    </w:p>
    <w:p w14:paraId="2F247849" w14:textId="77777777" w:rsidR="007D08CC" w:rsidRPr="007D08CC" w:rsidRDefault="007D08CC" w:rsidP="00C96B60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</w:p>
    <w:p w14:paraId="63F0CA2D" w14:textId="0446F839" w:rsidR="008B368F" w:rsidRDefault="008B368F" w:rsidP="00C96B60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  <w:r w:rsidRPr="007D08CC">
        <w:rPr>
          <w:rFonts w:ascii="Arial Narrow" w:hAnsi="Arial Narrow" w:cs="Times New Roman"/>
          <w:sz w:val="20"/>
          <w:szCs w:val="20"/>
        </w:rPr>
        <w:t xml:space="preserve">Les subventions et dotations sont estimées </w:t>
      </w:r>
      <w:r w:rsidR="007D08CC" w:rsidRPr="007D08CC">
        <w:rPr>
          <w:rFonts w:ascii="Arial Narrow" w:hAnsi="Arial Narrow" w:cs="Times New Roman"/>
          <w:sz w:val="20"/>
          <w:szCs w:val="20"/>
        </w:rPr>
        <w:t>à 228 900</w:t>
      </w:r>
      <w:r w:rsidRPr="007D08CC">
        <w:rPr>
          <w:rFonts w:ascii="Arial Narrow" w:hAnsi="Arial Narrow" w:cs="Times New Roman"/>
          <w:sz w:val="20"/>
          <w:szCs w:val="20"/>
        </w:rPr>
        <w:t xml:space="preserve"> </w:t>
      </w:r>
      <w:r w:rsidR="00385000" w:rsidRPr="007D08CC">
        <w:rPr>
          <w:rFonts w:ascii="Arial Narrow" w:hAnsi="Arial Narrow" w:cs="Times New Roman"/>
          <w:sz w:val="20"/>
          <w:szCs w:val="20"/>
        </w:rPr>
        <w:t>€</w:t>
      </w:r>
      <w:r w:rsidR="007D08CC">
        <w:rPr>
          <w:rFonts w:ascii="Arial Narrow" w:hAnsi="Arial Narrow" w:cs="Times New Roman"/>
          <w:sz w:val="20"/>
          <w:szCs w:val="20"/>
        </w:rPr>
        <w:t xml:space="preserve">, auxquelles s’ajoutent 254 689 € de reports 2020 (recettes certaines non encaissées). </w:t>
      </w:r>
    </w:p>
    <w:p w14:paraId="31AD4E2B" w14:textId="609C8895" w:rsidR="007D08CC" w:rsidRDefault="007D08CC" w:rsidP="00C96B60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</w:p>
    <w:p w14:paraId="7030A879" w14:textId="4E920241" w:rsidR="007D08CC" w:rsidRDefault="007D08CC" w:rsidP="00C96B60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Des opérations d’ordre (amortissements et étalements de pénalités de renégociation de dettes) seront comptabilisées à hauteur de 270 150 €. </w:t>
      </w:r>
    </w:p>
    <w:p w14:paraId="526D6070" w14:textId="491986F2" w:rsidR="007D08CC" w:rsidRDefault="007D08CC" w:rsidP="00C96B60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</w:p>
    <w:p w14:paraId="735ADF15" w14:textId="6020C921" w:rsidR="007D08CC" w:rsidRPr="007D08CC" w:rsidRDefault="007D08CC" w:rsidP="00C96B60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Un jeu d’écriture (dépense et recette) de 2 700 € est prévu pour régulariser une écriture de 2020. </w:t>
      </w:r>
    </w:p>
    <w:p w14:paraId="27891743" w14:textId="7F3676D5" w:rsidR="00B579F5" w:rsidRDefault="00B579F5" w:rsidP="00C96B60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</w:p>
    <w:p w14:paraId="573D9127" w14:textId="77777777" w:rsidR="00A11F32" w:rsidRPr="001B4C79" w:rsidRDefault="00A11F32" w:rsidP="00A11F32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</w:p>
    <w:p w14:paraId="514E22EE" w14:textId="77777777" w:rsidR="00C640A0" w:rsidRPr="001B4C79" w:rsidRDefault="00C640A0" w:rsidP="00A11F32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</w:p>
    <w:p w14:paraId="3D9EEA24" w14:textId="77777777" w:rsidR="00C640A0" w:rsidRPr="00231CA3" w:rsidRDefault="00C640A0" w:rsidP="00776A0C">
      <w:pPr>
        <w:pStyle w:val="Sansinterligne"/>
        <w:rPr>
          <w:rFonts w:ascii="Arial Narrow" w:hAnsi="Arial Narrow" w:cs="Times New Roman"/>
          <w:b/>
          <w:color w:val="0070C0"/>
          <w:sz w:val="20"/>
          <w:szCs w:val="20"/>
          <w:u w:val="single"/>
        </w:rPr>
      </w:pPr>
      <w:r w:rsidRPr="00231CA3">
        <w:rPr>
          <w:rFonts w:ascii="Arial Narrow" w:hAnsi="Arial Narrow" w:cs="Times New Roman"/>
          <w:b/>
          <w:color w:val="0070C0"/>
          <w:sz w:val="20"/>
          <w:szCs w:val="20"/>
          <w:u w:val="single"/>
        </w:rPr>
        <w:t>II – LE FONCTIONNEMENT</w:t>
      </w:r>
    </w:p>
    <w:p w14:paraId="14892D37" w14:textId="77777777" w:rsidR="00C640A0" w:rsidRPr="001B4C79" w:rsidRDefault="00C640A0" w:rsidP="00776A0C">
      <w:pPr>
        <w:pStyle w:val="Sansinterligne"/>
        <w:rPr>
          <w:rFonts w:ascii="Arial Narrow" w:hAnsi="Arial Narrow" w:cs="Times New Roman"/>
          <w:sz w:val="20"/>
          <w:szCs w:val="20"/>
        </w:rPr>
      </w:pPr>
    </w:p>
    <w:p w14:paraId="6D984B0E" w14:textId="77777777" w:rsidR="00C640A0" w:rsidRPr="001B4C79" w:rsidRDefault="00C640A0" w:rsidP="00776A0C">
      <w:pPr>
        <w:pStyle w:val="Sansinterligne"/>
        <w:rPr>
          <w:rFonts w:ascii="Arial Narrow" w:hAnsi="Arial Narrow" w:cs="Times New Roman"/>
          <w:b/>
          <w:i/>
          <w:sz w:val="20"/>
          <w:szCs w:val="20"/>
        </w:rPr>
      </w:pPr>
      <w:r w:rsidRPr="001B4C79">
        <w:rPr>
          <w:rFonts w:ascii="Arial Narrow" w:hAnsi="Arial Narrow" w:cs="Times New Roman"/>
          <w:sz w:val="20"/>
          <w:szCs w:val="20"/>
        </w:rPr>
        <w:tab/>
      </w:r>
      <w:r w:rsidRPr="00231CA3">
        <w:rPr>
          <w:rFonts w:ascii="Arial Narrow" w:hAnsi="Arial Narrow" w:cs="Times New Roman"/>
          <w:b/>
          <w:i/>
          <w:color w:val="548DD4" w:themeColor="text2" w:themeTint="99"/>
          <w:sz w:val="20"/>
          <w:szCs w:val="20"/>
        </w:rPr>
        <w:t>A – LES DÉPENSES</w:t>
      </w:r>
    </w:p>
    <w:p w14:paraId="06843B25" w14:textId="77777777" w:rsidR="00C640A0" w:rsidRPr="001B4C79" w:rsidRDefault="00C640A0" w:rsidP="00776A0C">
      <w:pPr>
        <w:pStyle w:val="Sansinterligne"/>
        <w:rPr>
          <w:rFonts w:ascii="Arial Narrow" w:hAnsi="Arial Narrow" w:cs="Times New Roman"/>
          <w:sz w:val="20"/>
          <w:szCs w:val="20"/>
        </w:rPr>
      </w:pPr>
    </w:p>
    <w:p w14:paraId="6929593F" w14:textId="27FCA1EC" w:rsidR="00E44B65" w:rsidRDefault="00310867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Les charges à caractère général sont en légère augmentation (3.79%) du fait de travaux importants sur les bâtiments communaux, de nouveaux contrats de prestation de services et une hausse sur les fluides (eau, gaz, électricité).</w:t>
      </w:r>
    </w:p>
    <w:p w14:paraId="21DCA19E" w14:textId="77777777" w:rsidR="00310867" w:rsidRPr="00310867" w:rsidRDefault="00310867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</w:p>
    <w:p w14:paraId="11A913C2" w14:textId="0E9ADD58" w:rsidR="004A78BC" w:rsidRPr="00310867" w:rsidRDefault="00E44B65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  <w:r w:rsidRPr="00310867">
        <w:rPr>
          <w:rFonts w:ascii="Arial Narrow" w:hAnsi="Arial Narrow" w:cs="Times New Roman"/>
          <w:sz w:val="20"/>
          <w:szCs w:val="20"/>
        </w:rPr>
        <w:t xml:space="preserve">La charge relative à la masse salariale </w:t>
      </w:r>
      <w:r w:rsidR="00EB58A8" w:rsidRPr="00310867">
        <w:rPr>
          <w:rFonts w:ascii="Arial Narrow" w:hAnsi="Arial Narrow" w:cs="Times New Roman"/>
          <w:sz w:val="20"/>
          <w:szCs w:val="20"/>
        </w:rPr>
        <w:t xml:space="preserve">enregistre cette année une </w:t>
      </w:r>
      <w:r w:rsidR="004A78BC" w:rsidRPr="00310867">
        <w:rPr>
          <w:rFonts w:ascii="Arial Narrow" w:hAnsi="Arial Narrow" w:cs="Times New Roman"/>
          <w:sz w:val="20"/>
          <w:szCs w:val="20"/>
        </w:rPr>
        <w:t xml:space="preserve">hausse </w:t>
      </w:r>
      <w:r w:rsidR="00310867" w:rsidRPr="00310867">
        <w:rPr>
          <w:rFonts w:ascii="Arial Narrow" w:hAnsi="Arial Narrow" w:cs="Times New Roman"/>
          <w:sz w:val="20"/>
          <w:szCs w:val="20"/>
        </w:rPr>
        <w:t>de 1.7</w:t>
      </w:r>
      <w:r w:rsidR="004C2915">
        <w:rPr>
          <w:rFonts w:ascii="Arial Narrow" w:hAnsi="Arial Narrow" w:cs="Times New Roman"/>
          <w:sz w:val="20"/>
          <w:szCs w:val="20"/>
        </w:rPr>
        <w:t>7</w:t>
      </w:r>
      <w:r w:rsidR="00EB58A8" w:rsidRPr="00310867">
        <w:rPr>
          <w:rFonts w:ascii="Arial Narrow" w:hAnsi="Arial Narrow" w:cs="Times New Roman"/>
          <w:sz w:val="20"/>
          <w:szCs w:val="20"/>
        </w:rPr>
        <w:t>%</w:t>
      </w:r>
      <w:r w:rsidR="004A78BC" w:rsidRPr="00310867">
        <w:rPr>
          <w:rFonts w:ascii="Arial Narrow" w:hAnsi="Arial Narrow" w:cs="Times New Roman"/>
          <w:sz w:val="20"/>
          <w:szCs w:val="20"/>
        </w:rPr>
        <w:t xml:space="preserve">. </w:t>
      </w:r>
    </w:p>
    <w:p w14:paraId="60D21644" w14:textId="4D27D5A3" w:rsidR="004A78BC" w:rsidRDefault="004A78BC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  <w:r w:rsidRPr="00310867">
        <w:rPr>
          <w:rFonts w:ascii="Arial Narrow" w:hAnsi="Arial Narrow" w:cs="Times New Roman"/>
          <w:sz w:val="20"/>
          <w:szCs w:val="20"/>
        </w:rPr>
        <w:t>Cela résulte de l’effet « GVT » (Glissement Vieillesse Technicité) et d’une somme allouée cette année, si besoin, au remplacement des personnes en arrêt maladie (contractuels).</w:t>
      </w:r>
    </w:p>
    <w:p w14:paraId="0C3B9D6B" w14:textId="77777777" w:rsidR="004C2915" w:rsidRPr="00310867" w:rsidRDefault="004C2915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</w:p>
    <w:p w14:paraId="6C4C5331" w14:textId="5BF92DCA" w:rsidR="004A78BC" w:rsidRPr="004C2915" w:rsidRDefault="005A3148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  <w:r w:rsidRPr="004C2915">
        <w:rPr>
          <w:rFonts w:ascii="Arial Narrow" w:hAnsi="Arial Narrow" w:cs="Times New Roman"/>
          <w:sz w:val="20"/>
          <w:szCs w:val="20"/>
        </w:rPr>
        <w:lastRenderedPageBreak/>
        <w:t>La commune ayant renégocié son emprunt structuré</w:t>
      </w:r>
      <w:r w:rsidR="004C2915">
        <w:rPr>
          <w:rFonts w:ascii="Arial Narrow" w:hAnsi="Arial Narrow" w:cs="Times New Roman"/>
          <w:sz w:val="20"/>
          <w:szCs w:val="20"/>
        </w:rPr>
        <w:t xml:space="preserve"> en 2020</w:t>
      </w:r>
      <w:r w:rsidRPr="004C2915">
        <w:rPr>
          <w:rFonts w:ascii="Arial Narrow" w:hAnsi="Arial Narrow" w:cs="Times New Roman"/>
          <w:sz w:val="20"/>
          <w:szCs w:val="20"/>
        </w:rPr>
        <w:t xml:space="preserve">, </w:t>
      </w:r>
      <w:r w:rsidR="00DF29F7" w:rsidRPr="004C2915">
        <w:rPr>
          <w:rFonts w:ascii="Arial Narrow" w:hAnsi="Arial Narrow" w:cs="Times New Roman"/>
          <w:sz w:val="20"/>
          <w:szCs w:val="20"/>
        </w:rPr>
        <w:t xml:space="preserve">il en résulte une charge </w:t>
      </w:r>
      <w:r w:rsidR="004C2915">
        <w:rPr>
          <w:rFonts w:ascii="Arial Narrow" w:hAnsi="Arial Narrow" w:cs="Times New Roman"/>
          <w:sz w:val="20"/>
          <w:szCs w:val="20"/>
        </w:rPr>
        <w:t xml:space="preserve">financière </w:t>
      </w:r>
      <w:r w:rsidR="004C2915" w:rsidRPr="004C2915">
        <w:rPr>
          <w:rFonts w:ascii="Arial Narrow" w:hAnsi="Arial Narrow" w:cs="Times New Roman"/>
          <w:sz w:val="20"/>
          <w:szCs w:val="20"/>
        </w:rPr>
        <w:t>moindre</w:t>
      </w:r>
      <w:r w:rsidR="00DF29F7" w:rsidRPr="004C2915">
        <w:rPr>
          <w:rFonts w:ascii="Arial Narrow" w:hAnsi="Arial Narrow" w:cs="Times New Roman"/>
          <w:sz w:val="20"/>
          <w:szCs w:val="20"/>
        </w:rPr>
        <w:t xml:space="preserve"> pour l’exercice 202</w:t>
      </w:r>
      <w:r w:rsidR="004C2915" w:rsidRPr="004C2915">
        <w:rPr>
          <w:rFonts w:ascii="Arial Narrow" w:hAnsi="Arial Narrow" w:cs="Times New Roman"/>
          <w:sz w:val="20"/>
          <w:szCs w:val="20"/>
        </w:rPr>
        <w:t>1</w:t>
      </w:r>
      <w:r w:rsidR="00DF29F7" w:rsidRPr="004C2915">
        <w:rPr>
          <w:rFonts w:ascii="Arial Narrow" w:hAnsi="Arial Narrow" w:cs="Times New Roman"/>
          <w:sz w:val="20"/>
          <w:szCs w:val="20"/>
        </w:rPr>
        <w:t xml:space="preserve"> </w:t>
      </w:r>
      <w:r w:rsidR="004C2915" w:rsidRPr="004C2915">
        <w:rPr>
          <w:rFonts w:ascii="Arial Narrow" w:hAnsi="Arial Narrow" w:cs="Times New Roman"/>
          <w:sz w:val="20"/>
          <w:szCs w:val="20"/>
        </w:rPr>
        <w:t>avec une prévision budgétaire en baisse de 1.28 %.</w:t>
      </w:r>
    </w:p>
    <w:p w14:paraId="445786FA" w14:textId="3202C4A7" w:rsidR="00EB58A8" w:rsidRPr="00F922F5" w:rsidRDefault="00EB58A8" w:rsidP="0053751D">
      <w:pPr>
        <w:pStyle w:val="Sansinterligne"/>
        <w:jc w:val="both"/>
        <w:rPr>
          <w:rFonts w:ascii="Arial Narrow" w:hAnsi="Arial Narrow" w:cs="Times New Roman"/>
          <w:color w:val="FF0000"/>
          <w:sz w:val="20"/>
          <w:szCs w:val="20"/>
        </w:rPr>
      </w:pPr>
      <w:r w:rsidRPr="00F922F5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</w:p>
    <w:p w14:paraId="2061FEDA" w14:textId="2EAEDDA8" w:rsidR="00EB58A8" w:rsidRDefault="004C2915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  <w:r w:rsidRPr="004C2915">
        <w:rPr>
          <w:rFonts w:ascii="Arial Narrow" w:hAnsi="Arial Narrow" w:cs="Times New Roman"/>
          <w:sz w:val="20"/>
          <w:szCs w:val="20"/>
        </w:rPr>
        <w:t>La subvention versée au CCAS augmente cette année de 50 000 €</w:t>
      </w:r>
      <w:r>
        <w:rPr>
          <w:rFonts w:ascii="Arial Narrow" w:hAnsi="Arial Narrow" w:cs="Times New Roman"/>
          <w:sz w:val="20"/>
          <w:szCs w:val="20"/>
        </w:rPr>
        <w:t xml:space="preserve"> du fait de besoins accrus</w:t>
      </w:r>
      <w:r w:rsidRPr="004C2915">
        <w:rPr>
          <w:rFonts w:ascii="Arial Narrow" w:hAnsi="Arial Narrow" w:cs="Times New Roman"/>
          <w:sz w:val="20"/>
          <w:szCs w:val="20"/>
        </w:rPr>
        <w:t xml:space="preserve">. </w:t>
      </w:r>
    </w:p>
    <w:p w14:paraId="057A4B74" w14:textId="3FAD5750" w:rsidR="004C2915" w:rsidRDefault="004C2915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</w:p>
    <w:p w14:paraId="77FB7E69" w14:textId="408FBD45" w:rsidR="004C2915" w:rsidRPr="004C2915" w:rsidRDefault="004C2915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Les charges exceptionnelles sont en progression, pour couvrir les éventuels besoins de remboursements lés à la covid (spectacles, inscriptions …). </w:t>
      </w:r>
    </w:p>
    <w:p w14:paraId="155FB89D" w14:textId="015E8124" w:rsidR="004C2915" w:rsidRDefault="004C2915" w:rsidP="0053751D">
      <w:pPr>
        <w:pStyle w:val="Sansinterligne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p w14:paraId="218D04FE" w14:textId="60CDD80D" w:rsidR="004C2915" w:rsidRDefault="004C2915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  <w:r w:rsidRPr="004C2915">
        <w:rPr>
          <w:rFonts w:ascii="Arial Narrow" w:hAnsi="Arial Narrow" w:cs="Times New Roman"/>
          <w:sz w:val="20"/>
          <w:szCs w:val="20"/>
        </w:rPr>
        <w:t>Les provisions retrouvent un niveau « normal » à 5 000 €, en prévision d’impayés notamment.</w:t>
      </w:r>
      <w:r>
        <w:rPr>
          <w:rFonts w:ascii="Arial Narrow" w:hAnsi="Arial Narrow" w:cs="Times New Roman"/>
          <w:sz w:val="20"/>
          <w:szCs w:val="20"/>
        </w:rPr>
        <w:t xml:space="preserve"> </w:t>
      </w:r>
    </w:p>
    <w:p w14:paraId="53E64D7A" w14:textId="45372A98" w:rsidR="004C2915" w:rsidRDefault="004C2915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</w:p>
    <w:p w14:paraId="063CF588" w14:textId="233B22B2" w:rsidR="004C2915" w:rsidRDefault="004C2915" w:rsidP="004C2915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Enfin, les opérations d’ordre </w:t>
      </w:r>
      <w:r>
        <w:rPr>
          <w:rFonts w:ascii="Arial Narrow" w:hAnsi="Arial Narrow" w:cs="Times New Roman"/>
          <w:sz w:val="20"/>
          <w:szCs w:val="20"/>
        </w:rPr>
        <w:t>(amortissements et étalements de pénalités de renégociation de dettes) seront comptabilisées à hauteur de 270 150 €</w:t>
      </w:r>
      <w:r>
        <w:rPr>
          <w:rFonts w:ascii="Arial Narrow" w:hAnsi="Arial Narrow" w:cs="Times New Roman"/>
          <w:sz w:val="20"/>
          <w:szCs w:val="20"/>
        </w:rPr>
        <w:t>, le virement au profit de la section d’investissement est de 694 565 €.</w:t>
      </w:r>
    </w:p>
    <w:p w14:paraId="7069EAEC" w14:textId="521C17EA" w:rsidR="004C2915" w:rsidRPr="00F922F5" w:rsidRDefault="004C2915" w:rsidP="0053751D">
      <w:pPr>
        <w:pStyle w:val="Sansinterligne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p w14:paraId="6A7AA531" w14:textId="77777777" w:rsidR="00EB58A8" w:rsidRPr="00F922F5" w:rsidRDefault="00EB58A8" w:rsidP="0053751D">
      <w:pPr>
        <w:pStyle w:val="Sansinterligne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p w14:paraId="7E204B3F" w14:textId="77777777" w:rsidR="003C1674" w:rsidRPr="001B4C79" w:rsidRDefault="003C1674" w:rsidP="0053751D">
      <w:pPr>
        <w:pStyle w:val="Sansinterligne"/>
        <w:jc w:val="both"/>
        <w:rPr>
          <w:rFonts w:ascii="Arial Narrow" w:hAnsi="Arial Narrow" w:cs="Times New Roman"/>
          <w:b/>
          <w:i/>
          <w:sz w:val="20"/>
          <w:szCs w:val="20"/>
        </w:rPr>
      </w:pPr>
      <w:r w:rsidRPr="001B4C79">
        <w:rPr>
          <w:rFonts w:ascii="Arial Narrow" w:hAnsi="Arial Narrow" w:cs="Times New Roman"/>
          <w:sz w:val="20"/>
          <w:szCs w:val="20"/>
        </w:rPr>
        <w:tab/>
      </w:r>
      <w:r w:rsidRPr="00231CA3">
        <w:rPr>
          <w:rFonts w:ascii="Arial Narrow" w:hAnsi="Arial Narrow" w:cs="Times New Roman"/>
          <w:b/>
          <w:i/>
          <w:color w:val="548DD4" w:themeColor="text2" w:themeTint="99"/>
          <w:sz w:val="20"/>
          <w:szCs w:val="20"/>
        </w:rPr>
        <w:t>B – LES RECETTES</w:t>
      </w:r>
    </w:p>
    <w:p w14:paraId="37F3B928" w14:textId="77777777" w:rsidR="003C1674" w:rsidRPr="001B4C79" w:rsidRDefault="003C1674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</w:p>
    <w:p w14:paraId="1BD2DC7C" w14:textId="4CA6CCD8" w:rsidR="004C2915" w:rsidRDefault="00F50146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  <w:r w:rsidRPr="004C2915">
        <w:rPr>
          <w:rFonts w:ascii="Arial Narrow" w:hAnsi="Arial Narrow" w:cs="Times New Roman"/>
          <w:sz w:val="20"/>
          <w:szCs w:val="20"/>
        </w:rPr>
        <w:t xml:space="preserve">Les recettes </w:t>
      </w:r>
      <w:r w:rsidR="009E10A5" w:rsidRPr="004C2915">
        <w:rPr>
          <w:rFonts w:ascii="Arial Narrow" w:hAnsi="Arial Narrow" w:cs="Times New Roman"/>
          <w:sz w:val="20"/>
          <w:szCs w:val="20"/>
        </w:rPr>
        <w:t xml:space="preserve">de fonctionnement </w:t>
      </w:r>
      <w:r w:rsidR="00C051D2" w:rsidRPr="004C2915">
        <w:rPr>
          <w:rFonts w:ascii="Arial Narrow" w:hAnsi="Arial Narrow" w:cs="Times New Roman"/>
          <w:sz w:val="20"/>
          <w:szCs w:val="20"/>
        </w:rPr>
        <w:t>sont en déclin cette année</w:t>
      </w:r>
      <w:r w:rsidR="004C2915">
        <w:rPr>
          <w:rFonts w:ascii="Arial Narrow" w:hAnsi="Arial Narrow" w:cs="Times New Roman"/>
          <w:sz w:val="20"/>
          <w:szCs w:val="20"/>
        </w:rPr>
        <w:t xml:space="preserve"> encore</w:t>
      </w:r>
      <w:r w:rsidR="00355140" w:rsidRPr="004C2915">
        <w:rPr>
          <w:rFonts w:ascii="Arial Narrow" w:hAnsi="Arial Narrow" w:cs="Times New Roman"/>
          <w:sz w:val="20"/>
          <w:szCs w:val="20"/>
        </w:rPr>
        <w:t>.</w:t>
      </w:r>
      <w:r w:rsidR="004C2915" w:rsidRPr="004C2915">
        <w:rPr>
          <w:rFonts w:ascii="Arial Narrow" w:hAnsi="Arial Narrow" w:cs="Times New Roman"/>
          <w:sz w:val="20"/>
          <w:szCs w:val="20"/>
        </w:rPr>
        <w:t xml:space="preserve"> </w:t>
      </w:r>
    </w:p>
    <w:p w14:paraId="4716DD16" w14:textId="77777777" w:rsidR="004C2915" w:rsidRDefault="004C2915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</w:p>
    <w:p w14:paraId="1405F90B" w14:textId="6CE3992F" w:rsidR="005A3148" w:rsidRDefault="004C2915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  <w:r w:rsidRPr="004C2915">
        <w:rPr>
          <w:rFonts w:ascii="Arial Narrow" w:hAnsi="Arial Narrow" w:cs="Times New Roman"/>
          <w:sz w:val="20"/>
          <w:szCs w:val="20"/>
        </w:rPr>
        <w:t xml:space="preserve">Les prévisions sont « prudentes » du fait de la pandémie de Covid-19 qui est toujours en cours. </w:t>
      </w:r>
    </w:p>
    <w:p w14:paraId="72788D3E" w14:textId="77777777" w:rsidR="004C2915" w:rsidRPr="00F922F5" w:rsidRDefault="004C2915" w:rsidP="0053751D">
      <w:pPr>
        <w:pStyle w:val="Sansinterligne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p w14:paraId="1C130462" w14:textId="0F9A2F03" w:rsidR="003C1674" w:rsidRPr="004C2915" w:rsidRDefault="00355140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  <w:r w:rsidRPr="004C2915">
        <w:rPr>
          <w:rFonts w:ascii="Arial Narrow" w:hAnsi="Arial Narrow" w:cs="Times New Roman"/>
          <w:sz w:val="20"/>
          <w:szCs w:val="20"/>
        </w:rPr>
        <w:t>En effet, la crise sanitaire a un effet sur nos recettes liées aux services à la population (activités jeunesse, culturelles et sportives notamment)</w:t>
      </w:r>
      <w:r w:rsidR="00472DAA">
        <w:rPr>
          <w:rFonts w:ascii="Arial Narrow" w:hAnsi="Arial Narrow" w:cs="Times New Roman"/>
          <w:sz w:val="20"/>
          <w:szCs w:val="20"/>
        </w:rPr>
        <w:t xml:space="preserve"> : une baisse de 47 000 € de recettes a été budgétée sur ces postes, et un manque de 9 000 € </w:t>
      </w:r>
      <w:r w:rsidR="00677788">
        <w:rPr>
          <w:rFonts w:ascii="Arial Narrow" w:hAnsi="Arial Narrow" w:cs="Times New Roman"/>
          <w:sz w:val="20"/>
          <w:szCs w:val="20"/>
        </w:rPr>
        <w:t>également</w:t>
      </w:r>
      <w:r w:rsidR="00472DAA">
        <w:rPr>
          <w:rFonts w:ascii="Arial Narrow" w:hAnsi="Arial Narrow" w:cs="Times New Roman"/>
          <w:sz w:val="20"/>
          <w:szCs w:val="20"/>
        </w:rPr>
        <w:t xml:space="preserve"> sur les locations (salles, </w:t>
      </w:r>
      <w:r w:rsidR="00677788">
        <w:rPr>
          <w:rFonts w:ascii="Arial Narrow" w:hAnsi="Arial Narrow" w:cs="Times New Roman"/>
          <w:sz w:val="20"/>
          <w:szCs w:val="20"/>
        </w:rPr>
        <w:t>matériels...</w:t>
      </w:r>
      <w:r w:rsidR="00472DAA">
        <w:rPr>
          <w:rFonts w:ascii="Arial Narrow" w:hAnsi="Arial Narrow" w:cs="Times New Roman"/>
          <w:sz w:val="20"/>
          <w:szCs w:val="20"/>
        </w:rPr>
        <w:t xml:space="preserve">). </w:t>
      </w:r>
    </w:p>
    <w:p w14:paraId="7B191238" w14:textId="77777777" w:rsidR="005A3148" w:rsidRPr="00817DDE" w:rsidRDefault="005A3148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</w:p>
    <w:p w14:paraId="639B249B" w14:textId="2C580939" w:rsidR="00355140" w:rsidRDefault="00355140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  <w:r w:rsidRPr="00817DDE">
        <w:rPr>
          <w:rFonts w:ascii="Arial Narrow" w:hAnsi="Arial Narrow" w:cs="Times New Roman"/>
          <w:sz w:val="20"/>
          <w:szCs w:val="20"/>
        </w:rPr>
        <w:t>Par ailleurs, la</w:t>
      </w:r>
      <w:r w:rsidR="004C2915" w:rsidRPr="00817DDE">
        <w:rPr>
          <w:rFonts w:ascii="Arial Narrow" w:hAnsi="Arial Narrow" w:cs="Times New Roman"/>
          <w:sz w:val="20"/>
          <w:szCs w:val="20"/>
        </w:rPr>
        <w:t xml:space="preserve"> réforme de</w:t>
      </w:r>
      <w:r w:rsidR="00677788">
        <w:rPr>
          <w:rFonts w:ascii="Arial Narrow" w:hAnsi="Arial Narrow" w:cs="Times New Roman"/>
          <w:sz w:val="20"/>
          <w:szCs w:val="20"/>
        </w:rPr>
        <w:t xml:space="preserve"> la</w:t>
      </w:r>
      <w:r w:rsidR="004C2915" w:rsidRPr="00817DDE">
        <w:rPr>
          <w:rFonts w:ascii="Arial Narrow" w:hAnsi="Arial Narrow" w:cs="Times New Roman"/>
          <w:sz w:val="20"/>
          <w:szCs w:val="20"/>
        </w:rPr>
        <w:t xml:space="preserve"> fiscalité</w:t>
      </w:r>
      <w:r w:rsidR="00817DDE" w:rsidRPr="00817DDE">
        <w:rPr>
          <w:rFonts w:ascii="Arial Narrow" w:hAnsi="Arial Narrow" w:cs="Times New Roman"/>
          <w:sz w:val="20"/>
          <w:szCs w:val="20"/>
        </w:rPr>
        <w:t xml:space="preserve"> (</w:t>
      </w:r>
      <w:r w:rsidRPr="00817DDE">
        <w:rPr>
          <w:rFonts w:ascii="Arial Narrow" w:hAnsi="Arial Narrow" w:cs="Times New Roman"/>
          <w:sz w:val="20"/>
          <w:szCs w:val="20"/>
        </w:rPr>
        <w:t>taxe d’habitation</w:t>
      </w:r>
      <w:r w:rsidR="00817DDE" w:rsidRPr="00817DDE">
        <w:rPr>
          <w:rFonts w:ascii="Arial Narrow" w:hAnsi="Arial Narrow" w:cs="Times New Roman"/>
          <w:sz w:val="20"/>
          <w:szCs w:val="20"/>
        </w:rPr>
        <w:t xml:space="preserve">, révision des valeurs locatives des industriels sur le foncier) </w:t>
      </w:r>
      <w:r w:rsidRPr="00817DDE">
        <w:rPr>
          <w:rFonts w:ascii="Arial Narrow" w:hAnsi="Arial Narrow" w:cs="Times New Roman"/>
          <w:sz w:val="20"/>
          <w:szCs w:val="20"/>
        </w:rPr>
        <w:t>se traduit également sur le budget 202</w:t>
      </w:r>
      <w:r w:rsidR="00817DDE" w:rsidRPr="00817DDE">
        <w:rPr>
          <w:rFonts w:ascii="Arial Narrow" w:hAnsi="Arial Narrow" w:cs="Times New Roman"/>
          <w:sz w:val="20"/>
          <w:szCs w:val="20"/>
        </w:rPr>
        <w:t>1 par une baisse de 24 000 € de recettes</w:t>
      </w:r>
      <w:r w:rsidRPr="00817DDE">
        <w:rPr>
          <w:rFonts w:ascii="Arial Narrow" w:hAnsi="Arial Narrow" w:cs="Times New Roman"/>
          <w:sz w:val="20"/>
          <w:szCs w:val="20"/>
        </w:rPr>
        <w:t>.</w:t>
      </w:r>
    </w:p>
    <w:p w14:paraId="2B41B629" w14:textId="77777777" w:rsidR="001E0C84" w:rsidRPr="00817DDE" w:rsidRDefault="001E0C84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</w:p>
    <w:p w14:paraId="72E8751E" w14:textId="42E0F167" w:rsidR="001E0C84" w:rsidRPr="001E0C84" w:rsidRDefault="001E0C84" w:rsidP="001E0C84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  <w:r w:rsidRPr="001E0C84">
        <w:rPr>
          <w:rFonts w:ascii="Arial Narrow" w:hAnsi="Arial Narrow" w:cs="Times New Roman"/>
          <w:sz w:val="20"/>
          <w:szCs w:val="20"/>
        </w:rPr>
        <w:t>L</w:t>
      </w:r>
      <w:r>
        <w:rPr>
          <w:rFonts w:ascii="Arial Narrow" w:hAnsi="Arial Narrow" w:cs="Times New Roman"/>
          <w:sz w:val="20"/>
          <w:szCs w:val="20"/>
        </w:rPr>
        <w:t>a commune n’augmentera pas taux</w:t>
      </w:r>
      <w:r w:rsidRPr="001E0C84">
        <w:rPr>
          <w:rFonts w:ascii="Arial Narrow" w:hAnsi="Arial Narrow" w:cs="Times New Roman"/>
          <w:sz w:val="20"/>
          <w:szCs w:val="20"/>
        </w:rPr>
        <w:t xml:space="preserve"> de fiscalité </w:t>
      </w:r>
      <w:r>
        <w:rPr>
          <w:rFonts w:ascii="Arial Narrow" w:hAnsi="Arial Narrow" w:cs="Times New Roman"/>
          <w:sz w:val="20"/>
          <w:szCs w:val="20"/>
        </w:rPr>
        <w:t>locale en 2021</w:t>
      </w:r>
      <w:r w:rsidRPr="001E0C84">
        <w:rPr>
          <w:rFonts w:ascii="Arial Narrow" w:hAnsi="Arial Narrow" w:cs="Times New Roman"/>
          <w:sz w:val="20"/>
          <w:szCs w:val="20"/>
        </w:rPr>
        <w:t>. Seules les valeurs locatives sont révisées.</w:t>
      </w:r>
    </w:p>
    <w:p w14:paraId="209BD6B4" w14:textId="77777777" w:rsidR="00F50146" w:rsidRPr="00F922F5" w:rsidRDefault="00F50146" w:rsidP="0053751D">
      <w:pPr>
        <w:pStyle w:val="Sansinterligne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p w14:paraId="6807B48A" w14:textId="193C2AB1" w:rsidR="00472DAA" w:rsidRDefault="00472DAA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Les remboursements sur dépenses de personnel en arrêt maladie sont estimées à 75 000 € environ. </w:t>
      </w:r>
    </w:p>
    <w:p w14:paraId="1F9BC49B" w14:textId="77777777" w:rsidR="00472DAA" w:rsidRDefault="00472DAA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</w:p>
    <w:p w14:paraId="7BD2FDAC" w14:textId="0AA60F0B" w:rsidR="005A3148" w:rsidRDefault="005A3148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  <w:r w:rsidRPr="001E0C84">
        <w:rPr>
          <w:rFonts w:ascii="Arial Narrow" w:hAnsi="Arial Narrow" w:cs="Times New Roman"/>
          <w:sz w:val="20"/>
          <w:szCs w:val="20"/>
        </w:rPr>
        <w:t>L’emprunt structuré ayant été renégocié, nous pouvons bénéficier d’une aide de l’Etat qui se traduit par une recette cette année de 48 331 €</w:t>
      </w:r>
      <w:r w:rsidR="001E0C84">
        <w:rPr>
          <w:rFonts w:ascii="Arial Narrow" w:hAnsi="Arial Narrow" w:cs="Times New Roman"/>
          <w:sz w:val="20"/>
          <w:szCs w:val="20"/>
        </w:rPr>
        <w:t xml:space="preserve">, et d’une reprise sur provision de 32 746 €. </w:t>
      </w:r>
    </w:p>
    <w:p w14:paraId="5740D23E" w14:textId="6CCE72EE" w:rsidR="00472DAA" w:rsidRDefault="00472DAA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</w:p>
    <w:p w14:paraId="471C0F91" w14:textId="4FB4868A" w:rsidR="00472DAA" w:rsidRDefault="00472DAA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Des produits exceptionnels sont prévus comme chaque année à hauteur de 15 000 € en prévision de remboursements de sinistres. </w:t>
      </w:r>
    </w:p>
    <w:p w14:paraId="5B9A4029" w14:textId="479C518A" w:rsidR="00472DAA" w:rsidRDefault="00472DAA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</w:p>
    <w:p w14:paraId="52F10382" w14:textId="4C1B7A96" w:rsidR="00472DAA" w:rsidRPr="00F922F5" w:rsidRDefault="006F5384" w:rsidP="0053751D">
      <w:pPr>
        <w:pStyle w:val="Sansinterligne"/>
        <w:jc w:val="both"/>
        <w:rPr>
          <w:rFonts w:ascii="Arial Narrow" w:hAnsi="Arial Narrow" w:cs="Times New Roman"/>
          <w:color w:val="FF0000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A noter également</w:t>
      </w:r>
      <w:r w:rsidR="00472DAA">
        <w:rPr>
          <w:rFonts w:ascii="Arial Narrow" w:hAnsi="Arial Narrow" w:cs="Times New Roman"/>
          <w:sz w:val="20"/>
          <w:szCs w:val="20"/>
        </w:rPr>
        <w:t>, 39 300 € de recettes sont budgété</w:t>
      </w:r>
      <w:r>
        <w:rPr>
          <w:rFonts w:ascii="Arial Narrow" w:hAnsi="Arial Narrow" w:cs="Times New Roman"/>
          <w:sz w:val="20"/>
          <w:szCs w:val="20"/>
        </w:rPr>
        <w:t>e</w:t>
      </w:r>
      <w:r w:rsidR="00472DAA">
        <w:rPr>
          <w:rFonts w:ascii="Arial Narrow" w:hAnsi="Arial Narrow" w:cs="Times New Roman"/>
          <w:sz w:val="20"/>
          <w:szCs w:val="20"/>
        </w:rPr>
        <w:t xml:space="preserve">s pour les travaux en régie, réalisés par nos agents communaux, afin de neutraliser la charge en section de fonctionnement (pièces et main d’œuvre). </w:t>
      </w:r>
    </w:p>
    <w:p w14:paraId="7721A691" w14:textId="77777777" w:rsidR="005A3148" w:rsidRPr="00F922F5" w:rsidRDefault="005A3148" w:rsidP="0053751D">
      <w:pPr>
        <w:pStyle w:val="Sansinterligne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p w14:paraId="74FBD652" w14:textId="77777777" w:rsidR="005A3148" w:rsidRDefault="005A3148" w:rsidP="005A3148">
      <w:pPr>
        <w:pStyle w:val="Sansinterligne"/>
        <w:ind w:firstLine="708"/>
        <w:jc w:val="both"/>
        <w:rPr>
          <w:rFonts w:ascii="Arial Narrow" w:hAnsi="Arial Narrow" w:cs="Times New Roman"/>
          <w:b/>
          <w:i/>
          <w:sz w:val="20"/>
          <w:szCs w:val="20"/>
        </w:rPr>
      </w:pPr>
    </w:p>
    <w:p w14:paraId="1F867163" w14:textId="550A01AA" w:rsidR="005A3148" w:rsidRPr="001B4C79" w:rsidRDefault="006F5384" w:rsidP="005A3148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Enfin, le report de résultat cumulé se monte à 812 408 €.</w:t>
      </w:r>
    </w:p>
    <w:p w14:paraId="32861E20" w14:textId="77777777" w:rsidR="00F50146" w:rsidRPr="001B4C79" w:rsidRDefault="00F50146" w:rsidP="0053751D">
      <w:pPr>
        <w:pStyle w:val="Sansinterligne"/>
        <w:jc w:val="both"/>
        <w:rPr>
          <w:rFonts w:ascii="Arial Narrow" w:hAnsi="Arial Narrow" w:cs="Times New Roman"/>
          <w:sz w:val="20"/>
          <w:szCs w:val="20"/>
        </w:rPr>
      </w:pPr>
    </w:p>
    <w:sectPr w:rsidR="00F50146" w:rsidRPr="001B4C79" w:rsidSect="000538F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91F46"/>
    <w:multiLevelType w:val="hybridMultilevel"/>
    <w:tmpl w:val="BAC21454"/>
    <w:lvl w:ilvl="0" w:tplc="79A07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98"/>
    <w:rsid w:val="0003157A"/>
    <w:rsid w:val="000538F2"/>
    <w:rsid w:val="00066AD2"/>
    <w:rsid w:val="000930A4"/>
    <w:rsid w:val="0010698C"/>
    <w:rsid w:val="001B4C79"/>
    <w:rsid w:val="001E0C84"/>
    <w:rsid w:val="00221528"/>
    <w:rsid w:val="002229C9"/>
    <w:rsid w:val="00223F05"/>
    <w:rsid w:val="00224367"/>
    <w:rsid w:val="00231CA3"/>
    <w:rsid w:val="00310867"/>
    <w:rsid w:val="00355140"/>
    <w:rsid w:val="00385000"/>
    <w:rsid w:val="003C1674"/>
    <w:rsid w:val="00472DAA"/>
    <w:rsid w:val="004A78BC"/>
    <w:rsid w:val="004C2915"/>
    <w:rsid w:val="0053751D"/>
    <w:rsid w:val="005A3148"/>
    <w:rsid w:val="00677788"/>
    <w:rsid w:val="006D0957"/>
    <w:rsid w:val="006F5384"/>
    <w:rsid w:val="00776A0C"/>
    <w:rsid w:val="007D08CC"/>
    <w:rsid w:val="00817DDE"/>
    <w:rsid w:val="008B368F"/>
    <w:rsid w:val="009749B0"/>
    <w:rsid w:val="009A250E"/>
    <w:rsid w:val="009E10A5"/>
    <w:rsid w:val="009F71DF"/>
    <w:rsid w:val="00A11F32"/>
    <w:rsid w:val="00B11383"/>
    <w:rsid w:val="00B34892"/>
    <w:rsid w:val="00B579F5"/>
    <w:rsid w:val="00C051D2"/>
    <w:rsid w:val="00C640A0"/>
    <w:rsid w:val="00C96B60"/>
    <w:rsid w:val="00D2615E"/>
    <w:rsid w:val="00DC4C03"/>
    <w:rsid w:val="00DF2993"/>
    <w:rsid w:val="00DF29F7"/>
    <w:rsid w:val="00E44B65"/>
    <w:rsid w:val="00EB58A8"/>
    <w:rsid w:val="00F21498"/>
    <w:rsid w:val="00F33C17"/>
    <w:rsid w:val="00F50146"/>
    <w:rsid w:val="00F9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BD2F"/>
  <w15:docId w15:val="{78B75D8F-5286-4235-847D-108CD5B9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1498"/>
    <w:pPr>
      <w:ind w:left="720"/>
      <w:contextualSpacing/>
    </w:pPr>
  </w:style>
  <w:style w:type="paragraph" w:styleId="Sansinterligne">
    <w:name w:val="No Spacing"/>
    <w:uiPriority w:val="1"/>
    <w:qFormat/>
    <w:rsid w:val="0022436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VCALANDREAU</dc:creator>
  <cp:lastModifiedBy>Laetitia HALLLIEZ</cp:lastModifiedBy>
  <cp:revision>9</cp:revision>
  <cp:lastPrinted>2018-04-18T07:27:00Z</cp:lastPrinted>
  <dcterms:created xsi:type="dcterms:W3CDTF">2021-04-07T08:49:00Z</dcterms:created>
  <dcterms:modified xsi:type="dcterms:W3CDTF">2021-04-07T09:32:00Z</dcterms:modified>
</cp:coreProperties>
</file>